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41542c2c04c31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50830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RAZVOJNA AGENCIJA OPĆINE GRAČAC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30.524,15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32.921,93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26.249,54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29.841,13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4.274,61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3.080,80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72,1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1.499,25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PRIHODA OD NEFINANCIJSKE IMOVINE (šifre 7-4,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X002, 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1.499,25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2.775,36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3.080,80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razdoblju izvještavanja ostvareni su ukupni prihodi u iznosu od 32.921,93 EUR, dok su ukupni rashodi poslovanja iznosili 29.841,13EUR.
Ostavren je višak prihoda poslovanja u iznosu od 3080,80 EUR.
Tijekom navedenog razdoblja nisu ostvareni prihodi niti rashodi od prodaje ili nabave nefinancijske imovine, kao ni prihodi ili izdaci po osnovi financiranja i zaduživanja.
Ostvaren višak prihoda rezultat je urednog izvršavanja planiranih aktivnosti i racionalnog korištenja proračunskih sredstav.
1️⃣ Ukupni rashodi za zaposlene
2024: 22.615,02 EUR
2025: 27.177,29 EUR
Povećanje = 27.177,29 − 22.615,02 = 4.562,27 EUR
Postotno povećanje = (4.562,27 ÷ 22.615,02) × 100 = 20,17 %
Dakle, ukupni rashodi za zaposlene porasli su za 20,17 % u odnosu na prethodnu godinu.
2️⃣ Rashodi samo za plaće
2024: 19.411,99 EUR
2025: 23.242,28 EUR
Povećanje = 23.242,28 − 19.411,99 = 3.830,29 EUR
Postotno povećanje = (3.830,29 ÷ 19.411,99) × 100 = 19,73 %
Dakle, rashodi za plaće porasli su za 19,73 % u odnosu na prethodnu godinu.
U odnosu na prethodnu godinu, zabilježeno je povećanje rashoda poslovanja, najvećim dijelom zbog rasta troškova za plaće i naknade zaposlenicima. 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26.249,54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29.841,13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1️⃣ Ukupni rashodi za zaposlene
2024: 22.615,02 EUR
2025: 27.177,29 EUR
Povećanje = 27.177,29 − 22.615,02 = 4.562,27 EUR
Postotno povećanje = (4.562,27 ÷ 22.615,02) × 100 = 20,17 %
Dakle, ukupni rashodi za zaposlene porasli su za 20,17 % u odnosu na prethodnu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19.411,99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23.242,28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2️⃣ Rashodi samo za plaće
2024: 19.411,99 EUR
2025: 23.242,28 EUR
Povećanje = 23.242,28 − 19.411,99 = 3.830,29 EUR
Postotno povećanje = (3.830,29 ÷ 19.411,99) × 100 = 19,73 %
Dakle, rashodi za plaće porasli su za 19,73 % u odnosu na prethodnu godinu.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61d0449c04de4" /></Relationships>
</file>