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07e618d81450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50830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RAZVOJNA AGENCIJA OPĆINE GRAČAC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40.639,78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46.158,39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39.416,80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45.500,84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1.222,98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1.499,25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1.244,79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212,6</w:t>
            </w:r>
          </w:p>
        </w:tc>
      </w:tr>
    </w:tbl>
    <w:p>
      <w:pPr>
        <w:spacing w:before="0" w:after="0"/>
      </w:pPr>
    </w:p>
    <w:p>
      <w:r>
        <w:t xml:space="preserve">U obrascu PR-RAS iskazani su ukupni prihodi poslovanja od 46.158,39 EUR te ukupni rashodi poslovanja u iznosu 45.500,84 EUR. U izvještajnom razdoblju nisu ostvareni prihodi od prodaje nefinancijske imovine, dok su rashodi za nabavu nefinancijske imovine iznosili 1.224,79 EUR što je rezultiralo manjkom prihoda od nefinancijske imovine u tom iznosu. Ukupno je u izvještajnom razdoblju iskazan manjak prihoda i primitaka u iznosu od 587,24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39.416,80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45.500,84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Rashodi poslovanja u izvještajnom razdoblju tekuće godine veći su u odnosu na isto razdoblje prethodne godine zbog povećanja troškova materijalnih rashoda i rashoda za zaposlene. Povećanje prihoda rezultat je općih troškova za redovno obavljanje djelatnosti, te ne odstupa od planiranih i opravdani poslovnih potreba.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 nedospjelih obveza na kraju izvještajnog razdoblja iznosi 187,37 EUR te se odnosi na redovne obveze nastale u okviru poslovanja koje će biti podmirene u sljedećem obračunskom razdoblju.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59e0701cba459a" /></Relationships>
</file>