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B3DA" w14:textId="77777777" w:rsidR="009A361D" w:rsidRPr="004D274E" w:rsidRDefault="009A361D" w:rsidP="009A361D">
      <w:pPr>
        <w:pStyle w:val="Bezproreda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4D274E">
        <w:rPr>
          <w:rFonts w:asciiTheme="majorHAnsi" w:hAnsiTheme="majorHAnsi" w:cs="Arial"/>
          <w:b/>
          <w:bCs/>
          <w:sz w:val="24"/>
          <w:szCs w:val="24"/>
        </w:rPr>
        <w:t>RAZVOJNA AGENCIJA OPĆINE GRAČAC</w:t>
      </w:r>
    </w:p>
    <w:p w14:paraId="5E884B00" w14:textId="77777777" w:rsidR="009A361D" w:rsidRDefault="009A361D" w:rsidP="009A361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14:paraId="5C71F85C" w14:textId="1A846E84" w:rsidR="009A361D" w:rsidRDefault="009A361D" w:rsidP="00240B7D">
      <w:pPr>
        <w:pStyle w:val="Bezproreda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4D274E">
        <w:rPr>
          <w:rFonts w:asciiTheme="majorHAnsi" w:hAnsiTheme="majorHAnsi" w:cs="Arial"/>
          <w:b/>
          <w:bCs/>
          <w:sz w:val="24"/>
          <w:szCs w:val="24"/>
        </w:rPr>
        <w:t>OBRAZLOŽENJE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B9509E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966BD6">
        <w:rPr>
          <w:rFonts w:asciiTheme="majorHAnsi" w:hAnsiTheme="majorHAnsi" w:cs="Arial"/>
          <w:b/>
          <w:bCs/>
          <w:sz w:val="24"/>
          <w:szCs w:val="24"/>
        </w:rPr>
        <w:t xml:space="preserve">izmjena i dopuna </w:t>
      </w:r>
      <w:r w:rsidR="00B665F7">
        <w:rPr>
          <w:rFonts w:asciiTheme="majorHAnsi" w:hAnsiTheme="majorHAnsi" w:cs="Arial"/>
          <w:b/>
          <w:bCs/>
          <w:sz w:val="24"/>
          <w:szCs w:val="24"/>
        </w:rPr>
        <w:t>F</w:t>
      </w:r>
      <w:r w:rsidRPr="004D274E">
        <w:rPr>
          <w:rFonts w:asciiTheme="majorHAnsi" w:hAnsiTheme="majorHAnsi" w:cs="Arial"/>
          <w:b/>
          <w:bCs/>
          <w:sz w:val="24"/>
          <w:szCs w:val="24"/>
        </w:rPr>
        <w:t xml:space="preserve">inancijskog plana </w:t>
      </w:r>
      <w:r>
        <w:rPr>
          <w:rFonts w:asciiTheme="majorHAnsi" w:hAnsiTheme="majorHAnsi" w:cs="Arial"/>
          <w:b/>
          <w:bCs/>
          <w:sz w:val="24"/>
          <w:szCs w:val="24"/>
        </w:rPr>
        <w:t>R</w:t>
      </w:r>
      <w:r w:rsidRPr="004D274E">
        <w:rPr>
          <w:rFonts w:asciiTheme="majorHAnsi" w:hAnsiTheme="majorHAnsi" w:cs="Arial"/>
          <w:b/>
          <w:bCs/>
          <w:sz w:val="24"/>
          <w:szCs w:val="24"/>
        </w:rPr>
        <w:t xml:space="preserve">azvojne agencije </w:t>
      </w:r>
      <w:r>
        <w:rPr>
          <w:rFonts w:asciiTheme="majorHAnsi" w:hAnsiTheme="majorHAnsi" w:cs="Arial"/>
          <w:b/>
          <w:bCs/>
          <w:sz w:val="24"/>
          <w:szCs w:val="24"/>
        </w:rPr>
        <w:t>O</w:t>
      </w:r>
      <w:r w:rsidRPr="004D274E">
        <w:rPr>
          <w:rFonts w:asciiTheme="majorHAnsi" w:hAnsiTheme="majorHAnsi" w:cs="Arial"/>
          <w:b/>
          <w:bCs/>
          <w:sz w:val="24"/>
          <w:szCs w:val="24"/>
        </w:rPr>
        <w:t xml:space="preserve">pćine </w:t>
      </w:r>
      <w:r>
        <w:rPr>
          <w:rFonts w:asciiTheme="majorHAnsi" w:hAnsiTheme="majorHAnsi" w:cs="Arial"/>
          <w:b/>
          <w:bCs/>
          <w:sz w:val="24"/>
          <w:szCs w:val="24"/>
        </w:rPr>
        <w:t>G</w:t>
      </w:r>
      <w:r w:rsidRPr="004D274E">
        <w:rPr>
          <w:rFonts w:asciiTheme="majorHAnsi" w:hAnsiTheme="majorHAnsi" w:cs="Arial"/>
          <w:b/>
          <w:bCs/>
          <w:sz w:val="24"/>
          <w:szCs w:val="24"/>
        </w:rPr>
        <w:t>račac</w:t>
      </w:r>
      <w:r w:rsidR="00966BD6">
        <w:rPr>
          <w:rFonts w:asciiTheme="majorHAnsi" w:hAnsiTheme="majorHAnsi" w:cs="Arial"/>
          <w:b/>
          <w:bCs/>
          <w:sz w:val="24"/>
          <w:szCs w:val="24"/>
        </w:rPr>
        <w:t xml:space="preserve"> za 202</w:t>
      </w:r>
      <w:r w:rsidR="00C64796">
        <w:rPr>
          <w:rFonts w:asciiTheme="majorHAnsi" w:hAnsiTheme="majorHAnsi" w:cs="Arial"/>
          <w:b/>
          <w:bCs/>
          <w:sz w:val="24"/>
          <w:szCs w:val="24"/>
        </w:rPr>
        <w:t>5</w:t>
      </w:r>
      <w:r w:rsidR="00966BD6">
        <w:rPr>
          <w:rFonts w:asciiTheme="majorHAnsi" w:hAnsiTheme="majorHAnsi" w:cs="Arial"/>
          <w:b/>
          <w:bCs/>
          <w:sz w:val="24"/>
          <w:szCs w:val="24"/>
        </w:rPr>
        <w:t>. godinu</w:t>
      </w:r>
    </w:p>
    <w:p w14:paraId="1B51BA5D" w14:textId="0A8D2874" w:rsidR="009A361D" w:rsidRDefault="00240B7D" w:rsidP="009A361D">
      <w:pPr>
        <w:pStyle w:val="Bezproreda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240B7D">
        <w:rPr>
          <w:rFonts w:asciiTheme="majorHAnsi" w:hAnsiTheme="majorHAnsi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B07BAF" wp14:editId="524FB0AE">
                <wp:simplePos x="0" y="0"/>
                <wp:positionH relativeFrom="margin">
                  <wp:posOffset>-42545</wp:posOffset>
                </wp:positionH>
                <wp:positionV relativeFrom="page">
                  <wp:posOffset>2019300</wp:posOffset>
                </wp:positionV>
                <wp:extent cx="5876925" cy="1285875"/>
                <wp:effectExtent l="0" t="0" r="28575" b="2857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57DC" w14:textId="3B01B0D0" w:rsidR="00240B7D" w:rsidRDefault="00240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07BA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3.35pt;margin-top:159pt;width:462.75pt;height:10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">
                <v:textbox>
                  <w:txbxContent>
                    <w:p w14:paraId="1CC957DC" w14:textId="3B01B0D0" w:rsidR="00240B7D" w:rsidRDefault="00240B7D"/>
                  </w:txbxContent>
                </v:textbox>
                <w10:wrap anchorx="margin" anchory="page"/>
              </v:shape>
            </w:pict>
          </mc:Fallback>
        </mc:AlternateContent>
      </w:r>
    </w:p>
    <w:p w14:paraId="7FD35066" w14:textId="2BB99B72" w:rsidR="005B48F7" w:rsidRPr="00240B7D" w:rsidRDefault="005B48F7" w:rsidP="00240B7D">
      <w:pPr>
        <w:pStyle w:val="Bezproreda"/>
        <w:ind w:firstLine="708"/>
        <w:jc w:val="both"/>
        <w:rPr>
          <w:rFonts w:asciiTheme="majorHAnsi" w:hAnsiTheme="majorHAnsi" w:cs="Arial"/>
        </w:rPr>
      </w:pPr>
      <w:r w:rsidRPr="00240B7D">
        <w:rPr>
          <w:rFonts w:asciiTheme="majorHAnsi" w:hAnsiTheme="majorHAnsi" w:cs="Arial"/>
        </w:rPr>
        <w:t xml:space="preserve">Razvojna agencija Općine Gračac osnovana je 2019. godine sa sjedištem u Gračacu, Nikole Tesle 37. </w:t>
      </w:r>
    </w:p>
    <w:p w14:paraId="68C056DB" w14:textId="77777777" w:rsidR="005B48F7" w:rsidRPr="00240B7D" w:rsidRDefault="005B48F7" w:rsidP="005B48F7">
      <w:pPr>
        <w:pStyle w:val="Bezproreda"/>
        <w:ind w:firstLine="708"/>
        <w:jc w:val="both"/>
        <w:rPr>
          <w:rFonts w:asciiTheme="majorHAnsi" w:hAnsiTheme="majorHAnsi" w:cs="Arial"/>
        </w:rPr>
      </w:pPr>
      <w:r w:rsidRPr="00240B7D">
        <w:rPr>
          <w:rFonts w:asciiTheme="majorHAnsi" w:hAnsiTheme="majorHAnsi" w:cs="Arial"/>
        </w:rPr>
        <w:t>Djelatnost Razvojne agencije je savjetovanje, informiranje, koordinacija, pružanje tehničke pomoći lokalnim vlastima i poduzetnicima sa područja Općine Gračac, sudjelovanje u organizaciji raznih programa, manifestacija.</w:t>
      </w:r>
    </w:p>
    <w:p w14:paraId="35D10EDD" w14:textId="77777777" w:rsidR="005B48F7" w:rsidRPr="005B48F7" w:rsidRDefault="005B48F7" w:rsidP="005B48F7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240B7D">
        <w:rPr>
          <w:rFonts w:asciiTheme="majorHAnsi" w:hAnsiTheme="majorHAnsi" w:cs="Arial"/>
        </w:rPr>
        <w:t>Izvor financiranja za redovno poslovanje Razvojne agencije je proračun jedinice lokalne (regionalne) samouprave</w:t>
      </w:r>
      <w:r w:rsidRPr="005B48F7">
        <w:rPr>
          <w:rFonts w:asciiTheme="majorHAnsi" w:hAnsiTheme="majorHAnsi" w:cs="Arial"/>
          <w:sz w:val="24"/>
          <w:szCs w:val="24"/>
        </w:rPr>
        <w:t>.</w:t>
      </w:r>
    </w:p>
    <w:p w14:paraId="5BB22171" w14:textId="77777777" w:rsidR="005B48F7" w:rsidRDefault="005B48F7" w:rsidP="00C64796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</w:p>
    <w:p w14:paraId="3AF1BD24" w14:textId="224396EF" w:rsidR="00C64796" w:rsidRPr="00C64796" w:rsidRDefault="00C64796" w:rsidP="005B48F7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C64796">
        <w:rPr>
          <w:rFonts w:asciiTheme="majorHAnsi" w:hAnsiTheme="majorHAnsi" w:cs="Arial"/>
          <w:sz w:val="24"/>
          <w:szCs w:val="24"/>
        </w:rPr>
        <w:t xml:space="preserve">Zakonom o proračunu definirano je modificirano novčano načelo odnosno modificirano obračunsko načelo u postupku planiranja i izvršavanja proračuna i financijskog plana. </w:t>
      </w:r>
    </w:p>
    <w:p w14:paraId="66F1D615" w14:textId="77777777" w:rsidR="00C64796" w:rsidRPr="00C64796" w:rsidRDefault="00C64796" w:rsidP="00C64796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C64796">
        <w:rPr>
          <w:rFonts w:asciiTheme="majorHAnsi" w:hAnsiTheme="majorHAnsi" w:cs="Arial"/>
          <w:sz w:val="24"/>
          <w:szCs w:val="24"/>
        </w:rPr>
        <w:t>Slijedom navedenog, Pravilnikom o planiranju u sustavu proračuna propisano je da se planiranje i izvršavanje proračuna i financijskih planova proračunskih i izvanproračunskih korisnika jedinice lokalne i područne (regionalne) samouprave temelji na modificiranom obračunskom načelu.</w:t>
      </w:r>
    </w:p>
    <w:p w14:paraId="7AF114CA" w14:textId="308D5EE0" w:rsidR="009A361D" w:rsidRDefault="00C64796" w:rsidP="00C64796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C64796">
        <w:rPr>
          <w:rFonts w:asciiTheme="majorHAnsi" w:hAnsiTheme="majorHAnsi" w:cs="Arial"/>
          <w:sz w:val="24"/>
          <w:szCs w:val="24"/>
        </w:rPr>
        <w:t>Jedinice lokalne i područne (regionalne) samouprave i proračunski i izvanproračunski korisnici proračuna jedinica lokalne i područne (regionalne) samouprave koj</w:t>
      </w:r>
      <w:r>
        <w:rPr>
          <w:rFonts w:asciiTheme="majorHAnsi" w:hAnsiTheme="majorHAnsi" w:cs="Arial"/>
          <w:sz w:val="24"/>
          <w:szCs w:val="24"/>
        </w:rPr>
        <w:t>i</w:t>
      </w:r>
      <w:r w:rsidRPr="00C64796">
        <w:rPr>
          <w:rFonts w:asciiTheme="majorHAnsi" w:hAnsiTheme="majorHAnsi" w:cs="Arial"/>
          <w:sz w:val="24"/>
          <w:szCs w:val="24"/>
        </w:rPr>
        <w:t xml:space="preserve"> su koristili podskupinu 193 Kontinuirani rashodi budućih razdoblja za iskazivanje rashoda 12. mjeseca, zbog ukidanja ove podskupine od 1. siječnja 2025., prilikom planiranja navedenih rashoda za 2025. godinu planirat će i rashode za 12. mjesec 2025. Slijedom toga, u prijelaznoj 2025. u tim će proračunima i financijskim planovima biti planirano trinaest rashoda (rashodi za 12.2024. i za 1.2025. - 12.2025.).</w:t>
      </w:r>
    </w:p>
    <w:p w14:paraId="7E91D8A4" w14:textId="5B7EF2A7" w:rsidR="00C64796" w:rsidRDefault="00C64796" w:rsidP="00C64796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Razvojna agencija nije u svom Financijskom planu </w:t>
      </w:r>
      <w:r w:rsidR="005B48F7">
        <w:rPr>
          <w:rFonts w:asciiTheme="majorHAnsi" w:hAnsiTheme="majorHAnsi" w:cs="Arial"/>
          <w:sz w:val="24"/>
          <w:szCs w:val="24"/>
        </w:rPr>
        <w:t>planirala navedene rashode te je stoga morala sukladno navedenom napraviti izmjene i dopune Financijskog plana.</w:t>
      </w:r>
    </w:p>
    <w:p w14:paraId="35B4EF0F" w14:textId="77777777" w:rsidR="005B48F7" w:rsidRDefault="005B48F7" w:rsidP="009A361D">
      <w:pPr>
        <w:pStyle w:val="Bezproreda"/>
        <w:ind w:firstLine="708"/>
        <w:jc w:val="both"/>
        <w:rPr>
          <w:rFonts w:asciiTheme="majorHAnsi" w:hAnsiTheme="majorHAnsi" w:cs="Arial"/>
          <w:sz w:val="24"/>
          <w:szCs w:val="24"/>
        </w:rPr>
      </w:pPr>
    </w:p>
    <w:p w14:paraId="54D24187" w14:textId="344BE950" w:rsidR="00DA229D" w:rsidRDefault="00420858" w:rsidP="00DA229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Obrazloženje</w:t>
      </w:r>
      <w:r w:rsidR="00966BD6">
        <w:rPr>
          <w:rFonts w:asciiTheme="majorHAnsi" w:hAnsiTheme="majorHAnsi" w:cs="Arial"/>
          <w:sz w:val="24"/>
          <w:szCs w:val="24"/>
        </w:rPr>
        <w:t xml:space="preserve">: </w:t>
      </w:r>
    </w:p>
    <w:p w14:paraId="117062EF" w14:textId="77777777" w:rsidR="00966BD6" w:rsidRDefault="00966BD6" w:rsidP="00DA229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14:paraId="77E71622" w14:textId="42F6C044" w:rsidR="00966BD6" w:rsidRDefault="002F05AA" w:rsidP="00DA229D">
      <w:pPr>
        <w:pStyle w:val="Bezproreda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240B7D">
        <w:rPr>
          <w:rFonts w:asciiTheme="majorHAnsi" w:hAnsiTheme="majorHAnsi" w:cs="Arial"/>
          <w:sz w:val="24"/>
          <w:szCs w:val="24"/>
        </w:rPr>
        <w:t xml:space="preserve">U </w:t>
      </w:r>
      <w:r w:rsidR="00966BD6" w:rsidRPr="00240B7D">
        <w:rPr>
          <w:rFonts w:asciiTheme="majorHAnsi" w:hAnsiTheme="majorHAnsi" w:cs="Arial"/>
          <w:sz w:val="24"/>
          <w:szCs w:val="24"/>
        </w:rPr>
        <w:t>Financijsko</w:t>
      </w:r>
      <w:r w:rsidRPr="00240B7D">
        <w:rPr>
          <w:rFonts w:asciiTheme="majorHAnsi" w:hAnsiTheme="majorHAnsi" w:cs="Arial"/>
          <w:sz w:val="24"/>
          <w:szCs w:val="24"/>
        </w:rPr>
        <w:t>m</w:t>
      </w:r>
      <w:r w:rsidR="00966BD6" w:rsidRPr="00240B7D">
        <w:rPr>
          <w:rFonts w:asciiTheme="majorHAnsi" w:hAnsiTheme="majorHAnsi" w:cs="Arial"/>
          <w:sz w:val="24"/>
          <w:szCs w:val="24"/>
        </w:rPr>
        <w:t xml:space="preserve"> plan</w:t>
      </w:r>
      <w:r w:rsidRPr="00240B7D">
        <w:rPr>
          <w:rFonts w:asciiTheme="majorHAnsi" w:hAnsiTheme="majorHAnsi" w:cs="Arial"/>
          <w:sz w:val="24"/>
          <w:szCs w:val="24"/>
        </w:rPr>
        <w:t>u</w:t>
      </w:r>
      <w:r w:rsidR="00966BD6" w:rsidRPr="00240B7D">
        <w:rPr>
          <w:rFonts w:asciiTheme="majorHAnsi" w:hAnsiTheme="majorHAnsi" w:cs="Arial"/>
          <w:sz w:val="24"/>
          <w:szCs w:val="24"/>
        </w:rPr>
        <w:t xml:space="preserve"> Razvojne agencije Opći</w:t>
      </w:r>
      <w:r w:rsidRPr="00240B7D">
        <w:rPr>
          <w:rFonts w:asciiTheme="majorHAnsi" w:hAnsiTheme="majorHAnsi" w:cs="Arial"/>
          <w:sz w:val="24"/>
          <w:szCs w:val="24"/>
        </w:rPr>
        <w:t xml:space="preserve">ne Gračac </w:t>
      </w:r>
      <w:proofErr w:type="spellStart"/>
      <w:r w:rsidRPr="00240B7D">
        <w:rPr>
          <w:rFonts w:asciiTheme="majorHAnsi" w:hAnsiTheme="majorHAnsi" w:cs="Arial"/>
          <w:sz w:val="24"/>
          <w:szCs w:val="24"/>
        </w:rPr>
        <w:t>izmijenjen</w:t>
      </w:r>
      <w:r w:rsidR="00240B7D">
        <w:rPr>
          <w:rFonts w:asciiTheme="majorHAnsi" w:hAnsiTheme="majorHAnsi" w:cs="Arial"/>
          <w:sz w:val="24"/>
          <w:szCs w:val="24"/>
        </w:rPr>
        <w:t>I</w:t>
      </w:r>
      <w:proofErr w:type="spellEnd"/>
      <w:r w:rsidRPr="00240B7D">
        <w:rPr>
          <w:rFonts w:asciiTheme="majorHAnsi" w:hAnsiTheme="majorHAnsi" w:cs="Arial"/>
          <w:sz w:val="24"/>
          <w:szCs w:val="24"/>
        </w:rPr>
        <w:t xml:space="preserve"> su sljede</w:t>
      </w:r>
      <w:r w:rsidR="00194EDB" w:rsidRPr="00240B7D">
        <w:rPr>
          <w:rFonts w:asciiTheme="majorHAnsi" w:hAnsiTheme="majorHAnsi" w:cs="Arial"/>
          <w:sz w:val="24"/>
          <w:szCs w:val="24"/>
        </w:rPr>
        <w:t>ći rashodi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: </w:t>
      </w:r>
    </w:p>
    <w:p w14:paraId="4055CCB6" w14:textId="7054488D" w:rsidR="002F05AA" w:rsidRDefault="002F05AA" w:rsidP="002F05AA">
      <w:pPr>
        <w:pStyle w:val="Bezproreda"/>
        <w:numPr>
          <w:ilvl w:val="0"/>
          <w:numId w:val="11"/>
        </w:numPr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Plaće za zaposlene </w:t>
      </w:r>
      <w:r w:rsidR="00605770">
        <w:rPr>
          <w:rFonts w:asciiTheme="majorHAnsi" w:hAnsiTheme="majorHAnsi" w:cs="Arial"/>
          <w:b/>
          <w:bCs/>
          <w:sz w:val="24"/>
          <w:szCs w:val="24"/>
        </w:rPr>
        <w:t>(</w:t>
      </w:r>
      <w:r>
        <w:rPr>
          <w:rFonts w:asciiTheme="majorHAnsi" w:hAnsiTheme="majorHAnsi" w:cs="Arial"/>
          <w:b/>
          <w:bCs/>
          <w:sz w:val="24"/>
          <w:szCs w:val="24"/>
        </w:rPr>
        <w:t>konto 3111</w:t>
      </w:r>
      <w:r w:rsidR="00605770">
        <w:rPr>
          <w:rFonts w:asciiTheme="majorHAnsi" w:hAnsiTheme="majorHAnsi" w:cs="Arial"/>
          <w:b/>
          <w:bCs/>
          <w:sz w:val="24"/>
          <w:szCs w:val="24"/>
        </w:rPr>
        <w:t xml:space="preserve">) </w:t>
      </w:r>
      <w:r w:rsidR="00194EDB">
        <w:rPr>
          <w:rFonts w:asciiTheme="majorHAnsi" w:hAnsiTheme="majorHAnsi" w:cs="Arial"/>
          <w:b/>
          <w:bCs/>
          <w:sz w:val="24"/>
          <w:szCs w:val="24"/>
        </w:rPr>
        <w:t>–</w:t>
      </w:r>
      <w:r w:rsidR="00605770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sz w:val="24"/>
          <w:szCs w:val="24"/>
        </w:rPr>
        <w:t>povećano za 3.000,00 EUR</w:t>
      </w:r>
      <w:r w:rsidR="00194ED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sz w:val="24"/>
          <w:szCs w:val="24"/>
        </w:rPr>
        <w:t>na</w:t>
      </w:r>
      <w:r w:rsidR="00194ED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b/>
          <w:bCs/>
          <w:sz w:val="24"/>
          <w:szCs w:val="24"/>
          <w:u w:val="single"/>
        </w:rPr>
        <w:t>38.040</w:t>
      </w:r>
      <w:r w:rsidR="00194EDB" w:rsidRPr="00194EDB">
        <w:rPr>
          <w:rFonts w:asciiTheme="majorHAnsi" w:hAnsiTheme="majorHAnsi" w:cs="Arial"/>
          <w:b/>
          <w:bCs/>
          <w:sz w:val="24"/>
          <w:szCs w:val="24"/>
        </w:rPr>
        <w:t xml:space="preserve"> EUR</w:t>
      </w:r>
    </w:p>
    <w:p w14:paraId="678BE3FF" w14:textId="012CE981" w:rsidR="00194EDB" w:rsidRDefault="00194EDB" w:rsidP="002F05AA">
      <w:pPr>
        <w:pStyle w:val="Bezproreda"/>
        <w:numPr>
          <w:ilvl w:val="0"/>
          <w:numId w:val="11"/>
        </w:numPr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Doprinosi za obvezno zdravstveno osiguranje (konto 3132) – </w:t>
      </w:r>
      <w:r w:rsidRPr="00194EDB">
        <w:rPr>
          <w:rFonts w:asciiTheme="majorHAnsi" w:hAnsiTheme="majorHAnsi" w:cs="Arial"/>
          <w:sz w:val="24"/>
          <w:szCs w:val="24"/>
        </w:rPr>
        <w:t>povećano za 450,00 EUR na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94EDB">
        <w:rPr>
          <w:rFonts w:asciiTheme="majorHAnsi" w:hAnsiTheme="majorHAnsi" w:cs="Arial"/>
          <w:b/>
          <w:bCs/>
          <w:sz w:val="24"/>
          <w:szCs w:val="24"/>
          <w:u w:val="single"/>
        </w:rPr>
        <w:t>6.330,00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EUR</w:t>
      </w:r>
    </w:p>
    <w:p w14:paraId="071D77D7" w14:textId="77F60143" w:rsidR="00605770" w:rsidRDefault="00605770" w:rsidP="002F05AA">
      <w:pPr>
        <w:pStyle w:val="Bezproreda"/>
        <w:numPr>
          <w:ilvl w:val="0"/>
          <w:numId w:val="11"/>
        </w:numPr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Ostale usluge za komunikaciju i prijevoz (konto 3231) </w:t>
      </w:r>
      <w:r w:rsidR="00194EDB">
        <w:rPr>
          <w:rFonts w:asciiTheme="majorHAnsi" w:hAnsiTheme="majorHAnsi" w:cs="Arial"/>
          <w:b/>
          <w:bCs/>
          <w:sz w:val="24"/>
          <w:szCs w:val="24"/>
        </w:rPr>
        <w:t>–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sz w:val="24"/>
          <w:szCs w:val="24"/>
        </w:rPr>
        <w:t>povećano za 35,00 EUR na</w:t>
      </w:r>
      <w:r w:rsidR="00194ED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b/>
          <w:bCs/>
          <w:sz w:val="24"/>
          <w:szCs w:val="24"/>
          <w:u w:val="single"/>
        </w:rPr>
        <w:t>435,00</w:t>
      </w:r>
      <w:r w:rsidR="00194EDB">
        <w:rPr>
          <w:rFonts w:asciiTheme="majorHAnsi" w:hAnsiTheme="majorHAnsi" w:cs="Arial"/>
          <w:b/>
          <w:bCs/>
          <w:sz w:val="24"/>
          <w:szCs w:val="24"/>
        </w:rPr>
        <w:t xml:space="preserve"> EUR</w:t>
      </w:r>
    </w:p>
    <w:p w14:paraId="24FFEE9B" w14:textId="339B5D81" w:rsidR="00605770" w:rsidRDefault="00605770" w:rsidP="002F05AA">
      <w:pPr>
        <w:pStyle w:val="Bezproreda"/>
        <w:numPr>
          <w:ilvl w:val="0"/>
          <w:numId w:val="11"/>
        </w:numPr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 xml:space="preserve">Računalne usluge (konto 3238) </w:t>
      </w:r>
      <w:r w:rsidR="00194EDB">
        <w:rPr>
          <w:rFonts w:asciiTheme="majorHAnsi" w:hAnsiTheme="majorHAnsi" w:cs="Arial"/>
          <w:b/>
          <w:bCs/>
          <w:sz w:val="24"/>
          <w:szCs w:val="24"/>
        </w:rPr>
        <w:t>–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sz w:val="24"/>
          <w:szCs w:val="24"/>
        </w:rPr>
        <w:t>povećano za 190,00 EUR na</w:t>
      </w:r>
      <w:r w:rsidR="00194EDB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194EDB" w:rsidRPr="00194EDB">
        <w:rPr>
          <w:rFonts w:asciiTheme="majorHAnsi" w:hAnsiTheme="majorHAnsi" w:cs="Arial"/>
          <w:b/>
          <w:bCs/>
          <w:sz w:val="24"/>
          <w:szCs w:val="24"/>
          <w:u w:val="single"/>
        </w:rPr>
        <w:t>3.690,00</w:t>
      </w:r>
      <w:r w:rsidR="00194EDB">
        <w:rPr>
          <w:rFonts w:asciiTheme="majorHAnsi" w:hAnsiTheme="majorHAnsi" w:cs="Arial"/>
          <w:b/>
          <w:bCs/>
          <w:sz w:val="24"/>
          <w:szCs w:val="24"/>
        </w:rPr>
        <w:t xml:space="preserve"> EUR</w:t>
      </w:r>
    </w:p>
    <w:p w14:paraId="1AA21150" w14:textId="77777777" w:rsidR="00CD137F" w:rsidRDefault="00CD137F" w:rsidP="00194EDB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14:paraId="07F37A46" w14:textId="256B261E" w:rsidR="00194EDB" w:rsidRPr="009A68FF" w:rsidRDefault="00194EDB" w:rsidP="00194EDB">
      <w:pPr>
        <w:pStyle w:val="Bezproreda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240B7D">
        <w:rPr>
          <w:rFonts w:asciiTheme="majorHAnsi" w:hAnsiTheme="majorHAnsi" w:cs="Arial"/>
          <w:sz w:val="24"/>
          <w:szCs w:val="24"/>
        </w:rPr>
        <w:t xml:space="preserve">Sveukupni rashodi nakon potrebnih izmjena su se povećali </w:t>
      </w:r>
      <w:r w:rsidR="00240B7D" w:rsidRPr="00240B7D">
        <w:rPr>
          <w:rFonts w:asciiTheme="majorHAnsi" w:hAnsiTheme="majorHAnsi" w:cs="Arial"/>
          <w:sz w:val="24"/>
          <w:szCs w:val="24"/>
        </w:rPr>
        <w:t xml:space="preserve">sa </w:t>
      </w:r>
      <w:r w:rsidRPr="00240B7D">
        <w:rPr>
          <w:rFonts w:asciiTheme="majorHAnsi" w:hAnsiTheme="majorHAnsi" w:cs="Arial"/>
          <w:sz w:val="24"/>
          <w:szCs w:val="24"/>
        </w:rPr>
        <w:t>planiranih 50.005,00</w:t>
      </w:r>
      <w:r w:rsidR="00240B7D" w:rsidRPr="00240B7D">
        <w:rPr>
          <w:rFonts w:asciiTheme="majorHAnsi" w:hAnsiTheme="majorHAnsi" w:cs="Arial"/>
          <w:sz w:val="24"/>
          <w:szCs w:val="24"/>
        </w:rPr>
        <w:t xml:space="preserve"> EUR na</w:t>
      </w:r>
      <w:r w:rsidR="00240B7D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240B7D" w:rsidRPr="00240B7D">
        <w:rPr>
          <w:rFonts w:asciiTheme="majorHAnsi" w:hAnsiTheme="majorHAnsi" w:cs="Arial"/>
          <w:b/>
          <w:bCs/>
          <w:sz w:val="24"/>
          <w:szCs w:val="24"/>
          <w:u w:val="single"/>
        </w:rPr>
        <w:t>53.680,00</w:t>
      </w:r>
      <w:r w:rsidR="00240B7D">
        <w:rPr>
          <w:rFonts w:asciiTheme="majorHAnsi" w:hAnsiTheme="majorHAnsi" w:cs="Arial"/>
          <w:b/>
          <w:bCs/>
          <w:sz w:val="24"/>
          <w:szCs w:val="24"/>
        </w:rPr>
        <w:t xml:space="preserve"> EUR</w:t>
      </w:r>
    </w:p>
    <w:p w14:paraId="12EB0198" w14:textId="77777777" w:rsidR="00966BD6" w:rsidRDefault="00966BD6" w:rsidP="00DA229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14:paraId="5561AE15" w14:textId="7FAF8977" w:rsidR="00966BD6" w:rsidRDefault="00966BD6" w:rsidP="00DA229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14:paraId="23AD33B3" w14:textId="1DC3D682" w:rsidR="00214883" w:rsidRDefault="00021C63" w:rsidP="00DA229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Sastavila: </w:t>
      </w:r>
      <w:r w:rsidR="00240B7D">
        <w:rPr>
          <w:rFonts w:asciiTheme="majorHAnsi" w:hAnsiTheme="majorHAnsi" w:cs="Arial"/>
          <w:sz w:val="24"/>
          <w:szCs w:val="24"/>
        </w:rPr>
        <w:t>Vesna Krezić</w:t>
      </w:r>
    </w:p>
    <w:p w14:paraId="6CAE0132" w14:textId="77777777" w:rsidR="00D52937" w:rsidRDefault="00D52937" w:rsidP="00DA229D">
      <w:pPr>
        <w:pStyle w:val="Bezproreda"/>
        <w:jc w:val="both"/>
        <w:rPr>
          <w:rFonts w:asciiTheme="majorHAnsi" w:hAnsiTheme="majorHAnsi" w:cs="Arial"/>
          <w:sz w:val="24"/>
          <w:szCs w:val="24"/>
        </w:rPr>
      </w:pPr>
    </w:p>
    <w:p w14:paraId="043ADB7D" w14:textId="0BD35A67" w:rsidR="00B26E7D" w:rsidRPr="00B750E7" w:rsidRDefault="00B26E7D" w:rsidP="009F2E82">
      <w:pPr>
        <w:jc w:val="right"/>
        <w:rPr>
          <w:rFonts w:asciiTheme="majorHAnsi" w:hAnsiTheme="majorHAnsi"/>
          <w:sz w:val="24"/>
          <w:szCs w:val="24"/>
        </w:rPr>
      </w:pPr>
    </w:p>
    <w:sectPr w:rsidR="00B26E7D" w:rsidRPr="00B750E7" w:rsidSect="001F4D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1ACF" w14:textId="77777777" w:rsidR="00332DD6" w:rsidRDefault="00332DD6" w:rsidP="009D3D9A">
      <w:pPr>
        <w:spacing w:after="0" w:line="240" w:lineRule="auto"/>
      </w:pPr>
      <w:r>
        <w:separator/>
      </w:r>
    </w:p>
  </w:endnote>
  <w:endnote w:type="continuationSeparator" w:id="0">
    <w:p w14:paraId="38CA7099" w14:textId="77777777" w:rsidR="00332DD6" w:rsidRDefault="00332DD6" w:rsidP="009D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  <w:szCs w:val="20"/>
      </w:rPr>
      <w:alias w:val="Tvrtka"/>
      <w:id w:val="270665196"/>
      <w:placeholder>
        <w:docPart w:val="1D71801C57D44B0396D63466E77093A8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54BFF89F" w14:textId="77777777" w:rsidR="008A4D1E" w:rsidRPr="00AC157E" w:rsidRDefault="008A4D1E" w:rsidP="00AC157E">
        <w:pPr>
          <w:pStyle w:val="Podnoje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 w:rsidRPr="00AC157E">
          <w:rPr>
            <w:b/>
            <w:sz w:val="20"/>
            <w:szCs w:val="20"/>
          </w:rPr>
          <w:t>Razvojna agencija Općine Gračac, MB: 5139538, OIB: 98415923512, upisano u Trgovački sud u Zadru (MBS: 110092892), HR2923400091111028589 Privredna banka Zagreb</w:t>
        </w:r>
      </w:p>
    </w:sdtContent>
  </w:sdt>
  <w:p w14:paraId="63B1D436" w14:textId="77777777" w:rsidR="008A4D1E" w:rsidRPr="00AC157E" w:rsidRDefault="008A4D1E" w:rsidP="00AC157E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C28B" w14:textId="77777777" w:rsidR="00332DD6" w:rsidRDefault="00332DD6" w:rsidP="009D3D9A">
      <w:pPr>
        <w:spacing w:after="0" w:line="240" w:lineRule="auto"/>
      </w:pPr>
      <w:r>
        <w:separator/>
      </w:r>
    </w:p>
  </w:footnote>
  <w:footnote w:type="continuationSeparator" w:id="0">
    <w:p w14:paraId="4D7EA382" w14:textId="77777777" w:rsidR="00332DD6" w:rsidRDefault="00332DD6" w:rsidP="009D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color w:val="000000" w:themeColor="text1"/>
        <w:sz w:val="28"/>
        <w:szCs w:val="28"/>
      </w:rPr>
      <w:alias w:val="Naslov"/>
      <w:id w:val="77738743"/>
      <w:placeholder>
        <w:docPart w:val="D7E3DA716E7C46FEBC98D555E58506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597C1E5" w14:textId="77777777" w:rsidR="008A4D1E" w:rsidRPr="0062377A" w:rsidRDefault="008A4D1E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r w:rsidRPr="00E62C13">
          <w:rPr>
            <w:rFonts w:asciiTheme="majorHAnsi" w:eastAsiaTheme="majorEastAsia" w:hAnsiTheme="majorHAnsi" w:cstheme="majorBidi"/>
            <w:b/>
            <w:color w:val="000000" w:themeColor="text1"/>
            <w:sz w:val="28"/>
            <w:szCs w:val="28"/>
          </w:rPr>
          <w:t>Razvojna agencija Općine Gračac</w:t>
        </w:r>
      </w:p>
    </w:sdtContent>
  </w:sdt>
  <w:p w14:paraId="49F63C31" w14:textId="77777777" w:rsidR="008A4D1E" w:rsidRPr="0062377A" w:rsidRDefault="008A4D1E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color w:val="000000" w:themeColor="text1"/>
        <w:sz w:val="20"/>
        <w:szCs w:val="20"/>
      </w:rPr>
    </w:pPr>
    <w:r>
      <w:rPr>
        <w:rFonts w:asciiTheme="majorHAnsi" w:eastAsiaTheme="majorEastAsia" w:hAnsiTheme="majorHAnsi" w:cstheme="majorBidi"/>
        <w:color w:val="000000" w:themeColor="text1"/>
        <w:sz w:val="20"/>
        <w:szCs w:val="20"/>
      </w:rPr>
      <w:t>e-mail: razvojna@gracac.hr</w:t>
    </w:r>
  </w:p>
  <w:p w14:paraId="06700104" w14:textId="77777777" w:rsidR="008A4D1E" w:rsidRPr="009D3D9A" w:rsidRDefault="008A4D1E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9D3D9A">
      <w:rPr>
        <w:rFonts w:asciiTheme="majorHAnsi" w:eastAsiaTheme="majorEastAsia" w:hAnsiTheme="majorHAnsi" w:cstheme="majorBidi"/>
        <w:sz w:val="20"/>
        <w:szCs w:val="20"/>
      </w:rPr>
      <w:t>Nikole Tesle 37, 23440 Gračac</w:t>
    </w:r>
  </w:p>
  <w:p w14:paraId="11E3A86F" w14:textId="77777777" w:rsidR="008A4D1E" w:rsidRDefault="008A4D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F78"/>
    <w:multiLevelType w:val="hybridMultilevel"/>
    <w:tmpl w:val="FBACA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A2C68"/>
    <w:multiLevelType w:val="hybridMultilevel"/>
    <w:tmpl w:val="FBAC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B23DF"/>
    <w:multiLevelType w:val="hybridMultilevel"/>
    <w:tmpl w:val="81FE4EAE"/>
    <w:lvl w:ilvl="0" w:tplc="F750786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4C24"/>
    <w:multiLevelType w:val="hybridMultilevel"/>
    <w:tmpl w:val="FBAC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622D"/>
    <w:multiLevelType w:val="hybridMultilevel"/>
    <w:tmpl w:val="A204DD3E"/>
    <w:lvl w:ilvl="0" w:tplc="6032E996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71FD4"/>
    <w:multiLevelType w:val="hybridMultilevel"/>
    <w:tmpl w:val="5AAAA68E"/>
    <w:lvl w:ilvl="0" w:tplc="6062024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56BF"/>
    <w:multiLevelType w:val="hybridMultilevel"/>
    <w:tmpl w:val="FBAC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5531"/>
    <w:multiLevelType w:val="hybridMultilevel"/>
    <w:tmpl w:val="90104FC0"/>
    <w:lvl w:ilvl="0" w:tplc="E9BED82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D5FB7"/>
    <w:multiLevelType w:val="hybridMultilevel"/>
    <w:tmpl w:val="FBAC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2C18"/>
    <w:multiLevelType w:val="hybridMultilevel"/>
    <w:tmpl w:val="005C1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06C"/>
    <w:multiLevelType w:val="hybridMultilevel"/>
    <w:tmpl w:val="8DBA8DF4"/>
    <w:lvl w:ilvl="0" w:tplc="1CCE850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17611">
    <w:abstractNumId w:val="7"/>
  </w:num>
  <w:num w:numId="2" w16cid:durableId="1602109764">
    <w:abstractNumId w:val="10"/>
  </w:num>
  <w:num w:numId="3" w16cid:durableId="1599017746">
    <w:abstractNumId w:val="0"/>
  </w:num>
  <w:num w:numId="4" w16cid:durableId="1369793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926540">
    <w:abstractNumId w:val="8"/>
  </w:num>
  <w:num w:numId="6" w16cid:durableId="621108402">
    <w:abstractNumId w:val="3"/>
  </w:num>
  <w:num w:numId="7" w16cid:durableId="119298709">
    <w:abstractNumId w:val="1"/>
  </w:num>
  <w:num w:numId="8" w16cid:durableId="1330869972">
    <w:abstractNumId w:val="6"/>
  </w:num>
  <w:num w:numId="9" w16cid:durableId="1856646283">
    <w:abstractNumId w:val="5"/>
  </w:num>
  <w:num w:numId="10" w16cid:durableId="773591812">
    <w:abstractNumId w:val="4"/>
  </w:num>
  <w:num w:numId="11" w16cid:durableId="1913061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9A"/>
    <w:rsid w:val="00021C63"/>
    <w:rsid w:val="0002624A"/>
    <w:rsid w:val="00047EC7"/>
    <w:rsid w:val="0006008A"/>
    <w:rsid w:val="00063CA7"/>
    <w:rsid w:val="00071569"/>
    <w:rsid w:val="00091011"/>
    <w:rsid w:val="00091973"/>
    <w:rsid w:val="00093E9A"/>
    <w:rsid w:val="000A4FBB"/>
    <w:rsid w:val="000B1093"/>
    <w:rsid w:val="000B1684"/>
    <w:rsid w:val="000B23A0"/>
    <w:rsid w:val="000B302E"/>
    <w:rsid w:val="000B549D"/>
    <w:rsid w:val="000E47CE"/>
    <w:rsid w:val="00103C2A"/>
    <w:rsid w:val="00106EEB"/>
    <w:rsid w:val="001112A9"/>
    <w:rsid w:val="00113338"/>
    <w:rsid w:val="00122A0E"/>
    <w:rsid w:val="001235C7"/>
    <w:rsid w:val="001239AE"/>
    <w:rsid w:val="00123E28"/>
    <w:rsid w:val="00125514"/>
    <w:rsid w:val="0012646F"/>
    <w:rsid w:val="0013271C"/>
    <w:rsid w:val="00150065"/>
    <w:rsid w:val="00164C9A"/>
    <w:rsid w:val="00165405"/>
    <w:rsid w:val="0017109E"/>
    <w:rsid w:val="00184399"/>
    <w:rsid w:val="001913CD"/>
    <w:rsid w:val="00194EDB"/>
    <w:rsid w:val="001A0B9C"/>
    <w:rsid w:val="001D25B6"/>
    <w:rsid w:val="001D5B1A"/>
    <w:rsid w:val="001E34B7"/>
    <w:rsid w:val="001E6FE0"/>
    <w:rsid w:val="001F4D13"/>
    <w:rsid w:val="0021294B"/>
    <w:rsid w:val="00214883"/>
    <w:rsid w:val="002306DC"/>
    <w:rsid w:val="00230F40"/>
    <w:rsid w:val="00240B7D"/>
    <w:rsid w:val="0024142C"/>
    <w:rsid w:val="0025799F"/>
    <w:rsid w:val="00257A7D"/>
    <w:rsid w:val="00263205"/>
    <w:rsid w:val="0026561D"/>
    <w:rsid w:val="0027232C"/>
    <w:rsid w:val="002771DE"/>
    <w:rsid w:val="0027768C"/>
    <w:rsid w:val="002A2FB0"/>
    <w:rsid w:val="002A6276"/>
    <w:rsid w:val="002A6692"/>
    <w:rsid w:val="002B4332"/>
    <w:rsid w:val="002E3AA5"/>
    <w:rsid w:val="002E6FFE"/>
    <w:rsid w:val="002F05AA"/>
    <w:rsid w:val="00314295"/>
    <w:rsid w:val="00316A46"/>
    <w:rsid w:val="00317300"/>
    <w:rsid w:val="0032018A"/>
    <w:rsid w:val="003215C2"/>
    <w:rsid w:val="00332DD6"/>
    <w:rsid w:val="00353C50"/>
    <w:rsid w:val="00356810"/>
    <w:rsid w:val="0037187E"/>
    <w:rsid w:val="00376CC9"/>
    <w:rsid w:val="00386C30"/>
    <w:rsid w:val="00386CA9"/>
    <w:rsid w:val="00390BF2"/>
    <w:rsid w:val="00391F3B"/>
    <w:rsid w:val="00394CD0"/>
    <w:rsid w:val="003C1A8A"/>
    <w:rsid w:val="003C1BF1"/>
    <w:rsid w:val="003C757C"/>
    <w:rsid w:val="003D1D94"/>
    <w:rsid w:val="003E6754"/>
    <w:rsid w:val="003F3ACF"/>
    <w:rsid w:val="003F7676"/>
    <w:rsid w:val="00416DF0"/>
    <w:rsid w:val="00420858"/>
    <w:rsid w:val="00432E39"/>
    <w:rsid w:val="00441457"/>
    <w:rsid w:val="00455E54"/>
    <w:rsid w:val="00467D9A"/>
    <w:rsid w:val="0047001A"/>
    <w:rsid w:val="004762C7"/>
    <w:rsid w:val="00481376"/>
    <w:rsid w:val="004840E7"/>
    <w:rsid w:val="004A1242"/>
    <w:rsid w:val="004A1AF9"/>
    <w:rsid w:val="004C433F"/>
    <w:rsid w:val="004D274E"/>
    <w:rsid w:val="004D3D3D"/>
    <w:rsid w:val="004D5443"/>
    <w:rsid w:val="005028B8"/>
    <w:rsid w:val="005129F1"/>
    <w:rsid w:val="00512D89"/>
    <w:rsid w:val="00552908"/>
    <w:rsid w:val="00553E9D"/>
    <w:rsid w:val="0055474C"/>
    <w:rsid w:val="00564AD0"/>
    <w:rsid w:val="00565314"/>
    <w:rsid w:val="00566227"/>
    <w:rsid w:val="00573F35"/>
    <w:rsid w:val="00586266"/>
    <w:rsid w:val="0059355F"/>
    <w:rsid w:val="0059594F"/>
    <w:rsid w:val="005A3A1D"/>
    <w:rsid w:val="005A4DAA"/>
    <w:rsid w:val="005A6667"/>
    <w:rsid w:val="005A78AD"/>
    <w:rsid w:val="005B48F7"/>
    <w:rsid w:val="005E7343"/>
    <w:rsid w:val="005F314A"/>
    <w:rsid w:val="00605770"/>
    <w:rsid w:val="00605828"/>
    <w:rsid w:val="006215CF"/>
    <w:rsid w:val="0062377A"/>
    <w:rsid w:val="006274C2"/>
    <w:rsid w:val="006303DD"/>
    <w:rsid w:val="00636056"/>
    <w:rsid w:val="00653FCB"/>
    <w:rsid w:val="00664651"/>
    <w:rsid w:val="00671AA8"/>
    <w:rsid w:val="006A18C6"/>
    <w:rsid w:val="006A25E6"/>
    <w:rsid w:val="006B139C"/>
    <w:rsid w:val="006C09B5"/>
    <w:rsid w:val="006E6455"/>
    <w:rsid w:val="00704839"/>
    <w:rsid w:val="00731FB2"/>
    <w:rsid w:val="00734A86"/>
    <w:rsid w:val="00756A43"/>
    <w:rsid w:val="00770D10"/>
    <w:rsid w:val="00792342"/>
    <w:rsid w:val="007A10E3"/>
    <w:rsid w:val="007D53B4"/>
    <w:rsid w:val="007F6CFC"/>
    <w:rsid w:val="008072FF"/>
    <w:rsid w:val="00820DD6"/>
    <w:rsid w:val="00824604"/>
    <w:rsid w:val="008700CB"/>
    <w:rsid w:val="00894F50"/>
    <w:rsid w:val="008A4D1E"/>
    <w:rsid w:val="008E52F3"/>
    <w:rsid w:val="008F2224"/>
    <w:rsid w:val="008F5BE4"/>
    <w:rsid w:val="00906FE6"/>
    <w:rsid w:val="009144D6"/>
    <w:rsid w:val="009170C6"/>
    <w:rsid w:val="0091714C"/>
    <w:rsid w:val="009219D0"/>
    <w:rsid w:val="00933C1A"/>
    <w:rsid w:val="009421F8"/>
    <w:rsid w:val="009454CF"/>
    <w:rsid w:val="00950EB7"/>
    <w:rsid w:val="00955BEE"/>
    <w:rsid w:val="0096025A"/>
    <w:rsid w:val="00966BD6"/>
    <w:rsid w:val="00982830"/>
    <w:rsid w:val="00995DAC"/>
    <w:rsid w:val="009A361D"/>
    <w:rsid w:val="009A68FF"/>
    <w:rsid w:val="009B0778"/>
    <w:rsid w:val="009B2E3D"/>
    <w:rsid w:val="009B6204"/>
    <w:rsid w:val="009C234D"/>
    <w:rsid w:val="009C562B"/>
    <w:rsid w:val="009D0DDA"/>
    <w:rsid w:val="009D3D9A"/>
    <w:rsid w:val="009E1A13"/>
    <w:rsid w:val="009F0671"/>
    <w:rsid w:val="009F2E82"/>
    <w:rsid w:val="00A04668"/>
    <w:rsid w:val="00A179E0"/>
    <w:rsid w:val="00A64560"/>
    <w:rsid w:val="00A7760F"/>
    <w:rsid w:val="00A8131A"/>
    <w:rsid w:val="00A822C1"/>
    <w:rsid w:val="00A839DC"/>
    <w:rsid w:val="00A86660"/>
    <w:rsid w:val="00A9105E"/>
    <w:rsid w:val="00AA7E31"/>
    <w:rsid w:val="00AB785B"/>
    <w:rsid w:val="00AC157E"/>
    <w:rsid w:val="00AC6BAA"/>
    <w:rsid w:val="00AD7C9E"/>
    <w:rsid w:val="00AE06C6"/>
    <w:rsid w:val="00AE180D"/>
    <w:rsid w:val="00B03560"/>
    <w:rsid w:val="00B037BE"/>
    <w:rsid w:val="00B10901"/>
    <w:rsid w:val="00B1158D"/>
    <w:rsid w:val="00B200CE"/>
    <w:rsid w:val="00B21C4F"/>
    <w:rsid w:val="00B26E7D"/>
    <w:rsid w:val="00B362D8"/>
    <w:rsid w:val="00B40B34"/>
    <w:rsid w:val="00B41D1B"/>
    <w:rsid w:val="00B61660"/>
    <w:rsid w:val="00B65262"/>
    <w:rsid w:val="00B65A95"/>
    <w:rsid w:val="00B665F7"/>
    <w:rsid w:val="00B750E7"/>
    <w:rsid w:val="00B8101C"/>
    <w:rsid w:val="00B93CD0"/>
    <w:rsid w:val="00B9509E"/>
    <w:rsid w:val="00B97A63"/>
    <w:rsid w:val="00BE05EB"/>
    <w:rsid w:val="00C10DB3"/>
    <w:rsid w:val="00C20842"/>
    <w:rsid w:val="00C22939"/>
    <w:rsid w:val="00C32309"/>
    <w:rsid w:val="00C42656"/>
    <w:rsid w:val="00C43A27"/>
    <w:rsid w:val="00C54A8E"/>
    <w:rsid w:val="00C55FD5"/>
    <w:rsid w:val="00C64770"/>
    <w:rsid w:val="00C64796"/>
    <w:rsid w:val="00C94F88"/>
    <w:rsid w:val="00CA013D"/>
    <w:rsid w:val="00CA0A9D"/>
    <w:rsid w:val="00CA51DF"/>
    <w:rsid w:val="00CA746B"/>
    <w:rsid w:val="00CB10BC"/>
    <w:rsid w:val="00CB1410"/>
    <w:rsid w:val="00CC7276"/>
    <w:rsid w:val="00CD137F"/>
    <w:rsid w:val="00CD5303"/>
    <w:rsid w:val="00CE630E"/>
    <w:rsid w:val="00CF23E8"/>
    <w:rsid w:val="00CF66C1"/>
    <w:rsid w:val="00CF798C"/>
    <w:rsid w:val="00D05E2C"/>
    <w:rsid w:val="00D14AB0"/>
    <w:rsid w:val="00D177A2"/>
    <w:rsid w:val="00D24ACF"/>
    <w:rsid w:val="00D27D49"/>
    <w:rsid w:val="00D40DA2"/>
    <w:rsid w:val="00D4179F"/>
    <w:rsid w:val="00D43EAA"/>
    <w:rsid w:val="00D44B74"/>
    <w:rsid w:val="00D52937"/>
    <w:rsid w:val="00D85BFD"/>
    <w:rsid w:val="00D85C29"/>
    <w:rsid w:val="00D918DE"/>
    <w:rsid w:val="00D948F2"/>
    <w:rsid w:val="00DA229D"/>
    <w:rsid w:val="00DA4323"/>
    <w:rsid w:val="00DA54CC"/>
    <w:rsid w:val="00DB2823"/>
    <w:rsid w:val="00DD2CBD"/>
    <w:rsid w:val="00DF1DF5"/>
    <w:rsid w:val="00E06A05"/>
    <w:rsid w:val="00E17BA7"/>
    <w:rsid w:val="00E25075"/>
    <w:rsid w:val="00E33D2E"/>
    <w:rsid w:val="00E37467"/>
    <w:rsid w:val="00E6098A"/>
    <w:rsid w:val="00E62C13"/>
    <w:rsid w:val="00E70AB2"/>
    <w:rsid w:val="00E751B9"/>
    <w:rsid w:val="00EA7E7F"/>
    <w:rsid w:val="00EB375C"/>
    <w:rsid w:val="00EB53F0"/>
    <w:rsid w:val="00ED1746"/>
    <w:rsid w:val="00EE085C"/>
    <w:rsid w:val="00EE5878"/>
    <w:rsid w:val="00F256DD"/>
    <w:rsid w:val="00F270DE"/>
    <w:rsid w:val="00F3108D"/>
    <w:rsid w:val="00F3689D"/>
    <w:rsid w:val="00F37F5E"/>
    <w:rsid w:val="00F4189A"/>
    <w:rsid w:val="00F431D1"/>
    <w:rsid w:val="00F61712"/>
    <w:rsid w:val="00F75473"/>
    <w:rsid w:val="00F77BE2"/>
    <w:rsid w:val="00F95724"/>
    <w:rsid w:val="00FB1297"/>
    <w:rsid w:val="00FC6D33"/>
    <w:rsid w:val="00FC7F14"/>
    <w:rsid w:val="00FD76E4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54541"/>
  <w15:docId w15:val="{795ED39A-E12C-4189-B98F-768495BC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C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3D9A"/>
  </w:style>
  <w:style w:type="paragraph" w:styleId="Podnoje">
    <w:name w:val="footer"/>
    <w:basedOn w:val="Normal"/>
    <w:link w:val="PodnojeChar"/>
    <w:uiPriority w:val="99"/>
    <w:unhideWhenUsed/>
    <w:rsid w:val="009D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3D9A"/>
  </w:style>
  <w:style w:type="paragraph" w:styleId="Tekstbalonia">
    <w:name w:val="Balloon Text"/>
    <w:basedOn w:val="Normal"/>
    <w:link w:val="TekstbaloniaChar"/>
    <w:uiPriority w:val="99"/>
    <w:semiHidden/>
    <w:unhideWhenUsed/>
    <w:rsid w:val="009D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D9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037B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E180D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E180D"/>
  </w:style>
  <w:style w:type="paragraph" w:customStyle="1" w:styleId="Default">
    <w:name w:val="Default"/>
    <w:rsid w:val="00AE1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950EB7"/>
    <w:rPr>
      <w:color w:val="0000FF" w:themeColor="hyperlink"/>
      <w:u w:val="single"/>
    </w:rPr>
  </w:style>
  <w:style w:type="paragraph" w:customStyle="1" w:styleId="box8298110">
    <w:name w:val="box_8298110"/>
    <w:basedOn w:val="Normal"/>
    <w:rsid w:val="0095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D0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8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E3DA716E7C46FEBC98D555E58506D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0DBB05-FEAA-43C9-A74E-5C544FC533A4}"/>
      </w:docPartPr>
      <w:docPartBody>
        <w:p w:rsidR="00756181" w:rsidRDefault="004D017C" w:rsidP="004D017C">
          <w:pPr>
            <w:pStyle w:val="D7E3DA716E7C46FEBC98D555E58506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  <w:docPart>
      <w:docPartPr>
        <w:name w:val="1D71801C57D44B0396D63466E77093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4A1EA1-CB5F-4D39-84F8-4D27ACFEF18E}"/>
      </w:docPartPr>
      <w:docPartBody>
        <w:p w:rsidR="000A42B2" w:rsidRDefault="00AC690C" w:rsidP="00AC690C">
          <w:pPr>
            <w:pStyle w:val="1D71801C57D44B0396D63466E77093A8"/>
          </w:pPr>
          <w:r>
            <w:rPr>
              <w:i/>
              <w:iCs/>
              <w:color w:val="8C8C8C" w:themeColor="background1" w:themeShade="8C"/>
            </w:rPr>
            <w:t>[Upišite naziv tvrtke]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17C"/>
    <w:rsid w:val="000825D3"/>
    <w:rsid w:val="000845E3"/>
    <w:rsid w:val="000A42B2"/>
    <w:rsid w:val="000B094A"/>
    <w:rsid w:val="0017727F"/>
    <w:rsid w:val="001B34FE"/>
    <w:rsid w:val="001C4397"/>
    <w:rsid w:val="001D25B6"/>
    <w:rsid w:val="001E494E"/>
    <w:rsid w:val="00215C3A"/>
    <w:rsid w:val="0025799F"/>
    <w:rsid w:val="0026706E"/>
    <w:rsid w:val="00276023"/>
    <w:rsid w:val="002C2CA0"/>
    <w:rsid w:val="002D717C"/>
    <w:rsid w:val="00373E44"/>
    <w:rsid w:val="003C1F23"/>
    <w:rsid w:val="00411FF8"/>
    <w:rsid w:val="00433AAD"/>
    <w:rsid w:val="0048077C"/>
    <w:rsid w:val="004A6FA5"/>
    <w:rsid w:val="004D017C"/>
    <w:rsid w:val="004D3D3D"/>
    <w:rsid w:val="004D616B"/>
    <w:rsid w:val="00531DFC"/>
    <w:rsid w:val="00573D83"/>
    <w:rsid w:val="005916BE"/>
    <w:rsid w:val="005E430B"/>
    <w:rsid w:val="0061232C"/>
    <w:rsid w:val="006573F1"/>
    <w:rsid w:val="00687D27"/>
    <w:rsid w:val="006914D2"/>
    <w:rsid w:val="006949EE"/>
    <w:rsid w:val="006C4304"/>
    <w:rsid w:val="006F1CC5"/>
    <w:rsid w:val="007208A6"/>
    <w:rsid w:val="00723C85"/>
    <w:rsid w:val="00756181"/>
    <w:rsid w:val="007A40C7"/>
    <w:rsid w:val="007F485C"/>
    <w:rsid w:val="00802119"/>
    <w:rsid w:val="00867A4D"/>
    <w:rsid w:val="008B3F56"/>
    <w:rsid w:val="008C0B62"/>
    <w:rsid w:val="009D16C4"/>
    <w:rsid w:val="009E6058"/>
    <w:rsid w:val="00A14835"/>
    <w:rsid w:val="00A459D4"/>
    <w:rsid w:val="00A45EEA"/>
    <w:rsid w:val="00A47639"/>
    <w:rsid w:val="00A5132D"/>
    <w:rsid w:val="00AC690C"/>
    <w:rsid w:val="00AD3506"/>
    <w:rsid w:val="00B0078A"/>
    <w:rsid w:val="00B43BDD"/>
    <w:rsid w:val="00B50B49"/>
    <w:rsid w:val="00B71E6B"/>
    <w:rsid w:val="00BA03E8"/>
    <w:rsid w:val="00C4409E"/>
    <w:rsid w:val="00D755D1"/>
    <w:rsid w:val="00DE49F9"/>
    <w:rsid w:val="00E45BDA"/>
    <w:rsid w:val="00F12778"/>
    <w:rsid w:val="00F3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7E3DA716E7C46FEBC98D555E58506DF">
    <w:name w:val="D7E3DA716E7C46FEBC98D555E58506DF"/>
    <w:rsid w:val="004D017C"/>
  </w:style>
  <w:style w:type="paragraph" w:customStyle="1" w:styleId="1D71801C57D44B0396D63466E77093A8">
    <w:name w:val="1D71801C57D44B0396D63466E77093A8"/>
    <w:rsid w:val="00AC6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DFA4-2C14-4892-AF72-186B3BC7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Razvojna agencija Općine Gračac</vt:lpstr>
      <vt:lpstr>Razvojna agencija Općine Gračac</vt:lpstr>
    </vt:vector>
  </TitlesOfParts>
  <Company>Razvojna agencija Općine Gračac, MB: 5139538, OIB: 98415923512, upisano u Trgovački sud u Zadru (MBS: 110092892), HR2923400091111028589 Privredna banka Zagreb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Razvojna agencija Općine Gračac</dc:title>
  <dc:creator>Dejan</dc:creator>
  <cp:lastModifiedBy>Razvojna agencija Gracac</cp:lastModifiedBy>
  <cp:revision>3</cp:revision>
  <cp:lastPrinted>2023-10-19T07:04:00Z</cp:lastPrinted>
  <dcterms:created xsi:type="dcterms:W3CDTF">2025-10-07T07:19:00Z</dcterms:created>
  <dcterms:modified xsi:type="dcterms:W3CDTF">2025-10-07T07:19:00Z</dcterms:modified>
  <cp:contentStatus/>
</cp:coreProperties>
</file>